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23" w:rsidRPr="0041405A" w:rsidRDefault="0048249A">
      <w:pPr>
        <w:pStyle w:val="Titolo"/>
        <w:pageBreakBefore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 xml:space="preserve">Scheda di sintesi sulla rilevazione degli OIV o </w:t>
      </w:r>
      <w:r w:rsidR="009A5646" w:rsidRPr="0041405A">
        <w:rPr>
          <w:rFonts w:ascii="Titillium" w:hAnsi="Titillium"/>
          <w:sz w:val="20"/>
          <w:szCs w:val="20"/>
        </w:rPr>
        <w:t>organismi con funzioni analoghe</w:t>
      </w:r>
    </w:p>
    <w:p w:rsidR="00C27B23" w:rsidRPr="0041405A" w:rsidRDefault="00C27B23">
      <w:pPr>
        <w:pStyle w:val="Paragrafoelenco"/>
        <w:ind w:left="0" w:firstLine="0"/>
        <w:rPr>
          <w:rFonts w:ascii="Titillium" w:hAnsi="Titillium"/>
          <w:sz w:val="20"/>
          <w:szCs w:val="20"/>
        </w:rPr>
      </w:pPr>
    </w:p>
    <w:p w:rsidR="00C27B23" w:rsidRPr="0041405A" w:rsidRDefault="0048249A">
      <w:pPr>
        <w:pStyle w:val="Paragrafoelenco"/>
        <w:spacing w:line="360" w:lineRule="auto"/>
        <w:ind w:left="0" w:firstLine="0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>Data di svolgimento della rilevazione</w:t>
      </w:r>
    </w:p>
    <w:p w:rsidR="00C27B23" w:rsidRPr="0041405A" w:rsidRDefault="00E665A1">
      <w:pPr>
        <w:pStyle w:val="Paragrafoelenco"/>
        <w:spacing w:after="0" w:line="276" w:lineRule="auto"/>
        <w:ind w:left="0" w:firstLine="0"/>
        <w:rPr>
          <w:rFonts w:ascii="Titillium" w:hAnsi="Titillium"/>
          <w:sz w:val="20"/>
          <w:szCs w:val="20"/>
        </w:rPr>
      </w:pPr>
      <w:r>
        <w:rPr>
          <w:rFonts w:ascii="Titillium" w:hAnsi="Titillium"/>
          <w:sz w:val="20"/>
          <w:szCs w:val="20"/>
        </w:rPr>
        <w:t>D</w:t>
      </w:r>
      <w:r w:rsidR="0048249A" w:rsidRPr="0041405A">
        <w:rPr>
          <w:rFonts w:ascii="Titillium" w:hAnsi="Titillium"/>
          <w:sz w:val="20"/>
          <w:szCs w:val="20"/>
        </w:rPr>
        <w:t xml:space="preserve">ata di svolgimento della rilevazione nel formato </w:t>
      </w:r>
      <w:r w:rsidR="009103EB">
        <w:rPr>
          <w:rFonts w:ascii="Titillium" w:hAnsi="Titillium"/>
          <w:sz w:val="20"/>
          <w:szCs w:val="20"/>
        </w:rPr>
        <w:t>31</w:t>
      </w:r>
      <w:r w:rsidR="0048249A" w:rsidRPr="0041405A">
        <w:rPr>
          <w:rFonts w:ascii="Titillium" w:hAnsi="Titillium"/>
          <w:sz w:val="20"/>
          <w:szCs w:val="20"/>
        </w:rPr>
        <w:t>/</w:t>
      </w:r>
      <w:r w:rsidR="009103EB">
        <w:rPr>
          <w:rFonts w:ascii="Titillium" w:hAnsi="Titillium"/>
          <w:sz w:val="20"/>
          <w:szCs w:val="20"/>
        </w:rPr>
        <w:t>05</w:t>
      </w:r>
      <w:r w:rsidR="0048249A" w:rsidRPr="0041405A">
        <w:rPr>
          <w:rFonts w:ascii="Titillium" w:hAnsi="Titillium"/>
          <w:sz w:val="20"/>
          <w:szCs w:val="20"/>
        </w:rPr>
        <w:t>/</w:t>
      </w:r>
      <w:r w:rsidR="009103EB">
        <w:rPr>
          <w:rFonts w:ascii="Titillium" w:hAnsi="Titillium"/>
          <w:sz w:val="20"/>
          <w:szCs w:val="20"/>
        </w:rPr>
        <w:t>2022</w:t>
      </w:r>
      <w:r w:rsidR="0048249A" w:rsidRPr="0041405A">
        <w:rPr>
          <w:rFonts w:ascii="Titillium" w:hAnsi="Titillium"/>
          <w:sz w:val="20"/>
          <w:szCs w:val="20"/>
        </w:rPr>
        <w:t>.</w:t>
      </w:r>
    </w:p>
    <w:p w:rsidR="00E665A1" w:rsidRDefault="009103EB">
      <w:pPr>
        <w:pStyle w:val="Paragrafoelenco"/>
        <w:spacing w:line="276" w:lineRule="auto"/>
        <w:ind w:left="0" w:firstLine="0"/>
        <w:rPr>
          <w:rFonts w:ascii="Titillium" w:hAnsi="Titillium"/>
          <w:sz w:val="20"/>
          <w:szCs w:val="20"/>
        </w:rPr>
      </w:pPr>
      <w:r>
        <w:rPr>
          <w:rFonts w:ascii="Titillium" w:hAnsi="Titillium"/>
          <w:sz w:val="20"/>
          <w:szCs w:val="20"/>
        </w:rPr>
        <w:t xml:space="preserve">La </w:t>
      </w:r>
      <w:r w:rsidR="00E665A1">
        <w:rPr>
          <w:rFonts w:ascii="Titillium" w:hAnsi="Titillium"/>
          <w:sz w:val="20"/>
          <w:szCs w:val="20"/>
        </w:rPr>
        <w:t>data di inizio</w:t>
      </w:r>
      <w:r>
        <w:rPr>
          <w:rFonts w:ascii="Titillium" w:hAnsi="Titillium"/>
          <w:sz w:val="20"/>
          <w:szCs w:val="20"/>
        </w:rPr>
        <w:t xml:space="preserve"> 3</w:t>
      </w:r>
      <w:r w:rsidR="00E665A1">
        <w:rPr>
          <w:rFonts w:ascii="Titillium" w:hAnsi="Titillium"/>
          <w:sz w:val="20"/>
          <w:szCs w:val="20"/>
        </w:rPr>
        <w:t>1</w:t>
      </w:r>
      <w:r>
        <w:rPr>
          <w:rFonts w:ascii="Titillium" w:hAnsi="Titillium"/>
          <w:sz w:val="20"/>
          <w:szCs w:val="20"/>
        </w:rPr>
        <w:t>/0</w:t>
      </w:r>
      <w:r w:rsidR="00E665A1">
        <w:rPr>
          <w:rFonts w:ascii="Titillium" w:hAnsi="Titillium"/>
          <w:sz w:val="20"/>
          <w:szCs w:val="20"/>
        </w:rPr>
        <w:t>5</w:t>
      </w:r>
      <w:r>
        <w:rPr>
          <w:rFonts w:ascii="Titillium" w:hAnsi="Titillium"/>
          <w:sz w:val="20"/>
          <w:szCs w:val="20"/>
        </w:rPr>
        <w:t>/202</w:t>
      </w:r>
      <w:r w:rsidR="00E665A1">
        <w:rPr>
          <w:rFonts w:ascii="Titillium" w:hAnsi="Titillium"/>
          <w:sz w:val="20"/>
          <w:szCs w:val="20"/>
        </w:rPr>
        <w:t>2</w:t>
      </w:r>
    </w:p>
    <w:p w:rsidR="009103EB" w:rsidRPr="0041405A" w:rsidRDefault="00E665A1">
      <w:pPr>
        <w:pStyle w:val="Paragrafoelenco"/>
        <w:spacing w:line="276" w:lineRule="auto"/>
        <w:ind w:left="0" w:firstLine="0"/>
        <w:rPr>
          <w:rFonts w:ascii="Titillium" w:hAnsi="Titillium"/>
          <w:sz w:val="20"/>
          <w:szCs w:val="20"/>
          <w:u w:val="single"/>
        </w:rPr>
      </w:pPr>
      <w:r>
        <w:rPr>
          <w:rFonts w:ascii="Titillium" w:hAnsi="Titillium"/>
          <w:sz w:val="20"/>
          <w:szCs w:val="20"/>
        </w:rPr>
        <w:t>Data di fine della rilevazione</w:t>
      </w:r>
      <w:r w:rsidR="009103EB">
        <w:rPr>
          <w:rFonts w:ascii="Titillium" w:hAnsi="Titillium"/>
          <w:sz w:val="20"/>
          <w:szCs w:val="20"/>
        </w:rPr>
        <w:t xml:space="preserve"> </w:t>
      </w:r>
      <w:r w:rsidRPr="00CD0F14">
        <w:rPr>
          <w:rFonts w:ascii="Titillium" w:hAnsi="Titillium"/>
          <w:sz w:val="20"/>
          <w:szCs w:val="20"/>
        </w:rPr>
        <w:t>15</w:t>
      </w:r>
      <w:r w:rsidR="009103EB" w:rsidRPr="00CD0F14">
        <w:rPr>
          <w:rFonts w:ascii="Titillium" w:hAnsi="Titillium"/>
          <w:sz w:val="20"/>
          <w:szCs w:val="20"/>
        </w:rPr>
        <w:t>/0</w:t>
      </w:r>
      <w:r w:rsidRPr="00CD0F14">
        <w:rPr>
          <w:rFonts w:ascii="Titillium" w:hAnsi="Titillium"/>
          <w:sz w:val="20"/>
          <w:szCs w:val="20"/>
        </w:rPr>
        <w:t>6</w:t>
      </w:r>
      <w:bookmarkStart w:id="0" w:name="_GoBack"/>
      <w:bookmarkEnd w:id="0"/>
      <w:r w:rsidR="009103EB">
        <w:rPr>
          <w:rFonts w:ascii="Titillium" w:hAnsi="Titillium"/>
          <w:sz w:val="20"/>
          <w:szCs w:val="20"/>
        </w:rPr>
        <w:t>/2022</w:t>
      </w:r>
    </w:p>
    <w:p w:rsidR="00C27B23" w:rsidRPr="0041405A" w:rsidRDefault="00C27B23">
      <w:pPr>
        <w:pStyle w:val="Paragrafoelenco"/>
        <w:spacing w:line="276" w:lineRule="auto"/>
        <w:ind w:left="0" w:firstLine="0"/>
        <w:rPr>
          <w:rFonts w:ascii="Titillium" w:hAnsi="Titillium"/>
          <w:sz w:val="20"/>
          <w:szCs w:val="20"/>
        </w:rPr>
      </w:pPr>
    </w:p>
    <w:p w:rsidR="00C27B23" w:rsidRPr="0041405A" w:rsidRDefault="00C27B23">
      <w:pPr>
        <w:pStyle w:val="Paragrafoelenco"/>
        <w:spacing w:after="0" w:line="276" w:lineRule="auto"/>
        <w:ind w:left="720" w:firstLine="0"/>
        <w:rPr>
          <w:rFonts w:ascii="Titillium" w:hAnsi="Titillium"/>
          <w:sz w:val="20"/>
          <w:szCs w:val="20"/>
        </w:rPr>
      </w:pPr>
    </w:p>
    <w:p w:rsidR="00C27B23" w:rsidRPr="0041405A" w:rsidRDefault="0048249A">
      <w:pPr>
        <w:pStyle w:val="Paragrafoelenco"/>
        <w:spacing w:line="360" w:lineRule="auto"/>
        <w:ind w:left="0" w:firstLine="0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 xml:space="preserve">Procedure e modalità seguite per la rilevazione </w:t>
      </w:r>
    </w:p>
    <w:p w:rsidR="00C27B23" w:rsidRPr="0041405A" w:rsidRDefault="0048249A" w:rsidP="007A107C">
      <w:pPr>
        <w:pStyle w:val="Paragrafoelenco"/>
        <w:spacing w:after="0" w:line="360" w:lineRule="auto"/>
        <w:ind w:left="0" w:firstLine="0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Indicare il procedimento e le modalità seguite per condurre la rilevazione.</w:t>
      </w:r>
    </w:p>
    <w:p w:rsidR="00C27B23" w:rsidRPr="0041405A" w:rsidRDefault="0048249A" w:rsidP="007A107C">
      <w:pPr>
        <w:pStyle w:val="Default"/>
        <w:spacing w:line="360" w:lineRule="auto"/>
        <w:jc w:val="both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A titolo esemplificativo e non esaustivo, si indicano alcune modalità, non alternative fra loro, che potrebbero essere seguite:</w:t>
      </w:r>
    </w:p>
    <w:p w:rsidR="00C27B23" w:rsidRPr="0041405A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verifica dell’attività svolta dal Responsabile della</w:t>
      </w:r>
      <w:r w:rsidR="007A107C" w:rsidRPr="0041405A">
        <w:rPr>
          <w:rFonts w:ascii="Titillium" w:hAnsi="Titillium"/>
          <w:sz w:val="20"/>
          <w:szCs w:val="20"/>
        </w:rPr>
        <w:t xml:space="preserve"> preve</w:t>
      </w:r>
      <w:r w:rsidR="00713BFD" w:rsidRPr="0041405A">
        <w:rPr>
          <w:rFonts w:ascii="Titillium" w:hAnsi="Titillium"/>
          <w:sz w:val="20"/>
          <w:szCs w:val="20"/>
        </w:rPr>
        <w:t>nzione della corruzione e della</w:t>
      </w:r>
      <w:r w:rsidRPr="0041405A">
        <w:rPr>
          <w:rFonts w:ascii="Titillium" w:hAnsi="Titillium"/>
          <w:sz w:val="20"/>
          <w:szCs w:val="20"/>
        </w:rPr>
        <w:t xml:space="preserve"> trasparenza per riscontrare l’adempimento degli obblighi di pubblicazione;</w:t>
      </w:r>
    </w:p>
    <w:p w:rsidR="00C27B23" w:rsidRPr="0041405A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esame della documentazione e delle banche dati relative ai dati oggetto di attestazione;</w:t>
      </w:r>
    </w:p>
    <w:p w:rsidR="00C27B23" w:rsidRPr="0041405A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colloqui con i responsabili della trasmissione dei dati;</w:t>
      </w:r>
    </w:p>
    <w:p w:rsidR="00C27B23" w:rsidRPr="0041405A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>colloqui con i responsabili della pubblicazione dei dati;</w:t>
      </w:r>
    </w:p>
    <w:p w:rsidR="00C27B23" w:rsidRPr="0041405A" w:rsidRDefault="0048249A" w:rsidP="007A107C">
      <w:pPr>
        <w:pStyle w:val="Default"/>
        <w:numPr>
          <w:ilvl w:val="0"/>
          <w:numId w:val="3"/>
        </w:numPr>
        <w:tabs>
          <w:tab w:val="left" w:pos="0"/>
        </w:tabs>
        <w:spacing w:line="360" w:lineRule="auto"/>
        <w:jc w:val="both"/>
        <w:rPr>
          <w:rFonts w:ascii="Titillium" w:hAnsi="Titillium"/>
          <w:sz w:val="20"/>
          <w:szCs w:val="20"/>
        </w:rPr>
      </w:pPr>
      <w:r w:rsidRPr="0041405A">
        <w:rPr>
          <w:rFonts w:ascii="Titillium" w:hAnsi="Titillium"/>
          <w:sz w:val="20"/>
          <w:szCs w:val="20"/>
        </w:rPr>
        <w:t xml:space="preserve">verifica </w:t>
      </w:r>
      <w:r w:rsidR="00713BFD" w:rsidRPr="0041405A">
        <w:rPr>
          <w:rFonts w:ascii="Titillium" w:hAnsi="Titillium"/>
          <w:sz w:val="20"/>
          <w:szCs w:val="20"/>
        </w:rPr>
        <w:t xml:space="preserve">diretta </w:t>
      </w:r>
      <w:r w:rsidRPr="0041405A">
        <w:rPr>
          <w:rFonts w:ascii="Titillium" w:hAnsi="Titillium"/>
          <w:sz w:val="20"/>
          <w:szCs w:val="20"/>
        </w:rPr>
        <w:t>sul sito istituzionale, anche attraverso l’utilizzo di supporti informatici</w:t>
      </w:r>
      <w:r w:rsidR="008A0378" w:rsidRPr="0041405A">
        <w:rPr>
          <w:rFonts w:ascii="Titillium" w:hAnsi="Titillium"/>
          <w:sz w:val="20"/>
          <w:szCs w:val="20"/>
        </w:rPr>
        <w:t>.</w:t>
      </w:r>
    </w:p>
    <w:p w:rsidR="00C27B23" w:rsidRPr="0041405A" w:rsidRDefault="00C27B23">
      <w:pPr>
        <w:spacing w:line="360" w:lineRule="auto"/>
        <w:rPr>
          <w:rFonts w:ascii="Titillium" w:hAnsi="Titillium"/>
          <w:sz w:val="20"/>
          <w:szCs w:val="20"/>
          <w:u w:val="single"/>
        </w:rPr>
      </w:pPr>
    </w:p>
    <w:p w:rsidR="00C27B23" w:rsidRPr="0041405A" w:rsidRDefault="0048249A">
      <w:pPr>
        <w:spacing w:line="360" w:lineRule="auto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>Aspetti critici riscontrati nel corso della rilevazione</w:t>
      </w:r>
    </w:p>
    <w:p w:rsidR="00C27B23" w:rsidRPr="000F2054" w:rsidRDefault="00E665A1">
      <w:pPr>
        <w:spacing w:line="360" w:lineRule="auto"/>
        <w:rPr>
          <w:rFonts w:ascii="Titillium" w:hAnsi="Titillium"/>
          <w:sz w:val="20"/>
          <w:szCs w:val="20"/>
        </w:rPr>
      </w:pPr>
      <w:r>
        <w:rPr>
          <w:rFonts w:ascii="Titillium" w:hAnsi="Titillium"/>
          <w:sz w:val="20"/>
          <w:szCs w:val="20"/>
        </w:rPr>
        <w:t>Si evidenziano carenze legate alla novità dell’argomento, in considerazione anche al fatto che l</w:t>
      </w:r>
      <w:r w:rsidR="00252A1B">
        <w:rPr>
          <w:rFonts w:ascii="Titillium" w:hAnsi="Titillium"/>
          <w:sz w:val="20"/>
          <w:szCs w:val="20"/>
        </w:rPr>
        <w:t xml:space="preserve">’attuale </w:t>
      </w:r>
      <w:r w:rsidR="000F2054" w:rsidRPr="009103EB">
        <w:rPr>
          <w:rFonts w:ascii="Titillium" w:hAnsi="Titillium"/>
          <w:sz w:val="20"/>
          <w:szCs w:val="20"/>
        </w:rPr>
        <w:t>C</w:t>
      </w:r>
      <w:r w:rsidR="00252A1B">
        <w:rPr>
          <w:rFonts w:ascii="Titillium" w:hAnsi="Titillium"/>
          <w:sz w:val="20"/>
          <w:szCs w:val="20"/>
        </w:rPr>
        <w:t>onsiglio si</w:t>
      </w:r>
      <w:r w:rsidR="000F2054" w:rsidRPr="009103EB">
        <w:rPr>
          <w:rFonts w:ascii="Titillium" w:hAnsi="Titillium"/>
          <w:sz w:val="20"/>
          <w:szCs w:val="20"/>
        </w:rPr>
        <w:t xml:space="preserve"> è </w:t>
      </w:r>
      <w:r>
        <w:rPr>
          <w:rFonts w:ascii="Titillium" w:hAnsi="Titillium"/>
          <w:sz w:val="20"/>
          <w:szCs w:val="20"/>
        </w:rPr>
        <w:t>insediato da po</w:t>
      </w:r>
      <w:r w:rsidR="00252A1B">
        <w:rPr>
          <w:rFonts w:ascii="Titillium" w:hAnsi="Titillium"/>
          <w:sz w:val="20"/>
          <w:szCs w:val="20"/>
        </w:rPr>
        <w:t>chi mesi</w:t>
      </w:r>
      <w:r>
        <w:rPr>
          <w:rFonts w:ascii="Titillium" w:hAnsi="Titillium"/>
          <w:sz w:val="20"/>
          <w:szCs w:val="20"/>
        </w:rPr>
        <w:t>.</w:t>
      </w:r>
    </w:p>
    <w:p w:rsidR="008A0378" w:rsidRPr="0041405A" w:rsidRDefault="008A0378">
      <w:pPr>
        <w:spacing w:line="360" w:lineRule="auto"/>
        <w:rPr>
          <w:rFonts w:ascii="Titillium" w:hAnsi="Titillium"/>
          <w:b/>
          <w:sz w:val="20"/>
          <w:szCs w:val="20"/>
          <w:u w:val="single"/>
        </w:rPr>
      </w:pPr>
    </w:p>
    <w:p w:rsidR="00C27B23" w:rsidRDefault="0048249A">
      <w:pPr>
        <w:spacing w:line="360" w:lineRule="auto"/>
        <w:rPr>
          <w:rFonts w:ascii="Titillium" w:hAnsi="Titillium"/>
          <w:b/>
          <w:i/>
          <w:sz w:val="20"/>
          <w:szCs w:val="20"/>
        </w:rPr>
      </w:pPr>
      <w:r w:rsidRPr="0041405A">
        <w:rPr>
          <w:rFonts w:ascii="Titillium" w:hAnsi="Titillium"/>
          <w:b/>
          <w:i/>
          <w:sz w:val="20"/>
          <w:szCs w:val="20"/>
        </w:rPr>
        <w:t>Eventuale documentazione da allegare</w:t>
      </w:r>
    </w:p>
    <w:p w:rsidR="00252A1B" w:rsidRDefault="00E665A1">
      <w:pPr>
        <w:spacing w:line="360" w:lineRule="auto"/>
        <w:rPr>
          <w:rFonts w:ascii="Titillium" w:hAnsi="Titillium"/>
          <w:sz w:val="20"/>
          <w:szCs w:val="20"/>
        </w:rPr>
      </w:pPr>
      <w:r>
        <w:rPr>
          <w:rFonts w:ascii="Titillium" w:hAnsi="Titillium"/>
          <w:sz w:val="20"/>
          <w:szCs w:val="20"/>
        </w:rPr>
        <w:t>Di seguito si riporta l’e</w:t>
      </w:r>
      <w:r w:rsidR="00252A1B" w:rsidRPr="00252A1B">
        <w:rPr>
          <w:rFonts w:ascii="Titillium" w:hAnsi="Titillium"/>
          <w:sz w:val="20"/>
          <w:szCs w:val="20"/>
        </w:rPr>
        <w:t xml:space="preserve">videnza </w:t>
      </w:r>
      <w:r>
        <w:rPr>
          <w:rFonts w:ascii="Titillium" w:hAnsi="Titillium"/>
          <w:sz w:val="20"/>
          <w:szCs w:val="20"/>
        </w:rPr>
        <w:t>relativa all</w:t>
      </w:r>
      <w:r w:rsidR="00252A1B">
        <w:rPr>
          <w:rFonts w:ascii="Titillium" w:hAnsi="Titillium"/>
          <w:sz w:val="20"/>
          <w:szCs w:val="20"/>
        </w:rPr>
        <w:t>’</w:t>
      </w:r>
      <w:r w:rsidR="00252A1B" w:rsidRPr="00252A1B">
        <w:rPr>
          <w:rFonts w:ascii="Titillium" w:hAnsi="Titillium"/>
          <w:sz w:val="20"/>
          <w:szCs w:val="20"/>
        </w:rPr>
        <w:t>a</w:t>
      </w:r>
      <w:r w:rsidR="00252A1B">
        <w:rPr>
          <w:rFonts w:ascii="Titillium" w:hAnsi="Titillium"/>
          <w:sz w:val="20"/>
          <w:szCs w:val="20"/>
        </w:rPr>
        <w:t xml:space="preserve">vvenuta pubblicazione </w:t>
      </w:r>
      <w:r>
        <w:rPr>
          <w:rFonts w:ascii="Titillium" w:hAnsi="Titillium"/>
          <w:sz w:val="20"/>
          <w:szCs w:val="20"/>
        </w:rPr>
        <w:t xml:space="preserve">sul sito istituzionale dell’Ente nell’apposita sezione “Amministrazione Trasparente” </w:t>
      </w:r>
      <w:r w:rsidR="00252A1B">
        <w:rPr>
          <w:rFonts w:ascii="Titillium" w:hAnsi="Titillium"/>
          <w:sz w:val="20"/>
          <w:szCs w:val="20"/>
        </w:rPr>
        <w:t>di quanto riportato in griglia di rilevazione.</w:t>
      </w:r>
    </w:p>
    <w:p w:rsidR="00252A1B" w:rsidRDefault="00252A1B">
      <w:pPr>
        <w:spacing w:line="360" w:lineRule="auto"/>
        <w:rPr>
          <w:rFonts w:ascii="Titillium" w:hAnsi="Titillium"/>
          <w:sz w:val="20"/>
          <w:szCs w:val="20"/>
        </w:rPr>
      </w:pPr>
    </w:p>
    <w:p w:rsidR="00252A1B" w:rsidRPr="00252A1B" w:rsidRDefault="00CD0F14">
      <w:pPr>
        <w:spacing w:line="360" w:lineRule="auto"/>
        <w:rPr>
          <w:rFonts w:ascii="Titillium" w:hAnsi="Titillium"/>
          <w:sz w:val="20"/>
          <w:szCs w:val="20"/>
        </w:rPr>
      </w:pPr>
      <w:r>
        <w:rPr>
          <w:rFonts w:ascii="Titillium" w:hAnsi="Titillium"/>
          <w:sz w:val="20"/>
          <w:szCs w:val="20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5pt;height:316.2pt">
            <v:imagedata r:id="rId8" o:title="Cattura"/>
          </v:shape>
        </w:pict>
      </w:r>
      <w:r w:rsidR="00252A1B" w:rsidRPr="00252A1B">
        <w:rPr>
          <w:rFonts w:ascii="Titillium" w:hAnsi="Titillium"/>
          <w:sz w:val="20"/>
          <w:szCs w:val="20"/>
        </w:rPr>
        <w:t xml:space="preserve"> </w:t>
      </w:r>
    </w:p>
    <w:sectPr w:rsidR="00252A1B" w:rsidRPr="00252A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708" w:left="1134" w:header="708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FDF" w:rsidRDefault="00FC3FDF">
      <w:pPr>
        <w:spacing w:after="0" w:line="240" w:lineRule="auto"/>
      </w:pPr>
      <w:r>
        <w:separator/>
      </w:r>
    </w:p>
  </w:endnote>
  <w:endnote w:type="continuationSeparator" w:id="0">
    <w:p w:rsidR="00FC3FDF" w:rsidRDefault="00FC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42" w:rsidRDefault="0025724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42" w:rsidRDefault="0025724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42" w:rsidRDefault="0025724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FDF" w:rsidRDefault="00FC3FDF">
      <w:pPr>
        <w:spacing w:after="0" w:line="240" w:lineRule="auto"/>
      </w:pPr>
      <w:r>
        <w:separator/>
      </w:r>
    </w:p>
  </w:footnote>
  <w:footnote w:type="continuationSeparator" w:id="0">
    <w:p w:rsidR="00FC3FDF" w:rsidRDefault="00FC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42" w:rsidRDefault="0025724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6C" w:rsidRDefault="0085206C" w:rsidP="006E496C">
    <w:pPr>
      <w:pStyle w:val="Intestazione"/>
      <w:jc w:val="right"/>
      <w:rPr>
        <w:rFonts w:ascii="Garamond" w:hAnsi="Garamond"/>
        <w:b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 wp14:anchorId="687E4C92" wp14:editId="504C6424">
          <wp:simplePos x="0" y="0"/>
          <wp:positionH relativeFrom="margin">
            <wp:posOffset>-271780</wp:posOffset>
          </wp:positionH>
          <wp:positionV relativeFrom="topMargin">
            <wp:posOffset>453390</wp:posOffset>
          </wp:positionV>
          <wp:extent cx="2879725" cy="341630"/>
          <wp:effectExtent l="0" t="0" r="0" b="127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9725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5206C" w:rsidRDefault="0085206C" w:rsidP="006E496C">
    <w:pPr>
      <w:pStyle w:val="Intestazione"/>
      <w:jc w:val="right"/>
      <w:rPr>
        <w:rFonts w:ascii="Garamond" w:hAnsi="Garamond"/>
        <w:b/>
      </w:rPr>
    </w:pPr>
  </w:p>
  <w:p w:rsidR="0085206C" w:rsidRDefault="0085206C" w:rsidP="0085206C">
    <w:pPr>
      <w:pStyle w:val="Intestazione"/>
      <w:tabs>
        <w:tab w:val="left" w:pos="3878"/>
      </w:tabs>
      <w:rPr>
        <w:rFonts w:ascii="Garamond" w:hAnsi="Garamond"/>
        <w:b/>
      </w:rPr>
    </w:pPr>
    <w:r>
      <w:rPr>
        <w:rFonts w:ascii="Garamond" w:hAnsi="Garamond"/>
        <w:b/>
      </w:rPr>
      <w:tab/>
    </w:r>
    <w:r>
      <w:rPr>
        <w:rFonts w:ascii="Garamond" w:hAnsi="Garamond"/>
        <w:b/>
      </w:rPr>
      <w:tab/>
    </w:r>
  </w:p>
  <w:p w:rsidR="00C27B23" w:rsidRPr="000F2C0E" w:rsidRDefault="0048249A" w:rsidP="006E496C">
    <w:pPr>
      <w:pStyle w:val="Intestazione"/>
      <w:jc w:val="right"/>
      <w:rPr>
        <w:rFonts w:ascii="Titillium" w:hAnsi="Titillium" w:cs="Times New Roman"/>
        <w:b/>
        <w:sz w:val="20"/>
        <w:szCs w:val="20"/>
      </w:rPr>
    </w:pPr>
    <w:r w:rsidRPr="000F2C0E">
      <w:rPr>
        <w:rFonts w:ascii="Titillium" w:hAnsi="Titillium"/>
        <w:b/>
        <w:sz w:val="20"/>
        <w:szCs w:val="20"/>
      </w:rPr>
      <w:t xml:space="preserve">Allegato 3 alla </w:t>
    </w:r>
    <w:r w:rsidRPr="000F2C0E">
      <w:rPr>
        <w:rFonts w:ascii="Titillium" w:hAnsi="Titillium" w:cs="Times New Roman"/>
        <w:b/>
        <w:sz w:val="20"/>
        <w:szCs w:val="20"/>
      </w:rPr>
      <w:t>delibera</w:t>
    </w:r>
    <w:r w:rsidR="004833D5" w:rsidRPr="000F2C0E">
      <w:rPr>
        <w:rFonts w:ascii="Titillium" w:hAnsi="Titillium" w:cs="Times New Roman"/>
        <w:b/>
        <w:sz w:val="20"/>
        <w:szCs w:val="20"/>
      </w:rPr>
      <w:t xml:space="preserve"> ANAC</w:t>
    </w:r>
    <w:r w:rsidRPr="000F2C0E">
      <w:rPr>
        <w:rFonts w:ascii="Titillium" w:hAnsi="Titillium" w:cs="Times New Roman"/>
        <w:b/>
        <w:sz w:val="20"/>
        <w:szCs w:val="20"/>
      </w:rPr>
      <w:t xml:space="preserve"> n. </w:t>
    </w:r>
    <w:r w:rsidR="00506EFE">
      <w:rPr>
        <w:rFonts w:ascii="Titillium" w:hAnsi="Titillium" w:cs="Times New Roman"/>
        <w:b/>
        <w:sz w:val="20"/>
        <w:szCs w:val="20"/>
      </w:rPr>
      <w:t>201</w:t>
    </w:r>
    <w:r w:rsidRPr="000F2C0E">
      <w:rPr>
        <w:rFonts w:ascii="Titillium" w:hAnsi="Titillium" w:cs="Times New Roman"/>
        <w:b/>
        <w:sz w:val="20"/>
        <w:szCs w:val="20"/>
      </w:rPr>
      <w:t>/</w:t>
    </w:r>
    <w:r w:rsidR="009C05D1" w:rsidRPr="000F2C0E">
      <w:rPr>
        <w:rFonts w:ascii="Titillium" w:hAnsi="Titillium" w:cs="Times New Roman"/>
        <w:b/>
        <w:sz w:val="20"/>
        <w:szCs w:val="20"/>
      </w:rPr>
      <w:t>202</w:t>
    </w:r>
    <w:r w:rsidR="00257242">
      <w:rPr>
        <w:rFonts w:ascii="Titillium" w:hAnsi="Titillium" w:cs="Times New Roman"/>
        <w:b/>
        <w:sz w:val="20"/>
        <w:szCs w:val="20"/>
      </w:rPr>
      <w:t>2</w:t>
    </w:r>
  </w:p>
  <w:p w:rsidR="0085206C" w:rsidRDefault="0085206C" w:rsidP="006E496C">
    <w:pPr>
      <w:pStyle w:val="Intestazione"/>
      <w:jc w:val="right"/>
      <w:rPr>
        <w:rFonts w:ascii="Garamond" w:hAnsi="Garamond" w:cs="Times New Roman"/>
        <w:b/>
      </w:rPr>
    </w:pPr>
  </w:p>
  <w:p w:rsidR="0085206C" w:rsidRPr="006E496C" w:rsidRDefault="0085206C" w:rsidP="006E496C">
    <w:pPr>
      <w:pStyle w:val="Intestazione"/>
      <w:jc w:val="right"/>
      <w:rPr>
        <w:rFonts w:ascii="Garamond" w:hAnsi="Garamond" w:cs="Times New Roman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42" w:rsidRDefault="0025724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B02D7"/>
    <w:multiLevelType w:val="multilevel"/>
    <w:tmpl w:val="562438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1">
    <w:nsid w:val="3E981BA1"/>
    <w:multiLevelType w:val="multilevel"/>
    <w:tmpl w:val="42B6B57E"/>
    <w:lvl w:ilvl="0">
      <w:start w:val="1"/>
      <w:numFmt w:val="none"/>
      <w:pStyle w:val="Titolo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4743015"/>
    <w:multiLevelType w:val="multilevel"/>
    <w:tmpl w:val="9568540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B274FF9"/>
    <w:multiLevelType w:val="hybridMultilevel"/>
    <w:tmpl w:val="4CD022FC"/>
    <w:lvl w:ilvl="0" w:tplc="77CA1D2A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7B23"/>
    <w:rsid w:val="00040F20"/>
    <w:rsid w:val="000F2054"/>
    <w:rsid w:val="000F2C0E"/>
    <w:rsid w:val="0016468A"/>
    <w:rsid w:val="0024134D"/>
    <w:rsid w:val="00252A1B"/>
    <w:rsid w:val="00257242"/>
    <w:rsid w:val="002C572E"/>
    <w:rsid w:val="003E1CF5"/>
    <w:rsid w:val="0041405A"/>
    <w:rsid w:val="00416AD0"/>
    <w:rsid w:val="0048249A"/>
    <w:rsid w:val="004833D5"/>
    <w:rsid w:val="004F18CD"/>
    <w:rsid w:val="00506EFE"/>
    <w:rsid w:val="0060106A"/>
    <w:rsid w:val="006E496C"/>
    <w:rsid w:val="007052EA"/>
    <w:rsid w:val="00713BFD"/>
    <w:rsid w:val="007A107C"/>
    <w:rsid w:val="00837860"/>
    <w:rsid w:val="0085206C"/>
    <w:rsid w:val="00861FE1"/>
    <w:rsid w:val="008A0378"/>
    <w:rsid w:val="008C3BE3"/>
    <w:rsid w:val="008C42A7"/>
    <w:rsid w:val="009103EB"/>
    <w:rsid w:val="00955140"/>
    <w:rsid w:val="009A5646"/>
    <w:rsid w:val="009C05D1"/>
    <w:rsid w:val="009C6FAC"/>
    <w:rsid w:val="00A52DF7"/>
    <w:rsid w:val="00AF790D"/>
    <w:rsid w:val="00C27B23"/>
    <w:rsid w:val="00C32BE7"/>
    <w:rsid w:val="00CD0F14"/>
    <w:rsid w:val="00D27496"/>
    <w:rsid w:val="00DC6B42"/>
    <w:rsid w:val="00E665A1"/>
    <w:rsid w:val="00FC3FDF"/>
    <w:rsid w:val="00FC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2"/>
      <w:sz w:val="14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rPr>
      <w:rFonts w:ascii="Times New Roman" w:eastAsia="Times New Roman" w:hAnsi="Times New Roman" w:cs="Times New Roman"/>
      <w:b/>
      <w:bCs/>
      <w:i/>
      <w:sz w:val="36"/>
      <w:szCs w:val="32"/>
      <w:lang w:eastAsia="ar-SA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CharLFO13LVL1">
    <w:name w:val="WW_CharLFO13LVL1"/>
    <w:rPr>
      <w:rFonts w:ascii="Times New Roman" w:eastAsia="Times New Roman" w:hAnsi="Times New Roman" w:cs="Times New Roman"/>
    </w:rPr>
  </w:style>
  <w:style w:type="character" w:customStyle="1" w:styleId="WWCharLFO13LVL2">
    <w:name w:val="WW_CharLFO13LVL2"/>
    <w:rPr>
      <w:rFonts w:ascii="Courier New" w:hAnsi="Courier New" w:cs="Courier New"/>
    </w:rPr>
  </w:style>
  <w:style w:type="character" w:customStyle="1" w:styleId="WWCharLFO13LVL3">
    <w:name w:val="WW_CharLFO13LVL3"/>
    <w:rPr>
      <w:rFonts w:ascii="Wingdings" w:hAnsi="Wingdings"/>
    </w:rPr>
  </w:style>
  <w:style w:type="character" w:customStyle="1" w:styleId="WWCharLFO13LVL4">
    <w:name w:val="WW_CharLFO13LVL4"/>
    <w:rPr>
      <w:rFonts w:ascii="Symbol" w:hAnsi="Symbol"/>
    </w:rPr>
  </w:style>
  <w:style w:type="character" w:customStyle="1" w:styleId="WWCharLFO13LVL5">
    <w:name w:val="WW_CharLFO13LVL5"/>
    <w:rPr>
      <w:rFonts w:ascii="Courier New" w:hAnsi="Courier New" w:cs="Courier New"/>
    </w:rPr>
  </w:style>
  <w:style w:type="character" w:customStyle="1" w:styleId="WWCharLFO13LVL6">
    <w:name w:val="WW_CharLFO13LVL6"/>
    <w:rPr>
      <w:rFonts w:ascii="Wingdings" w:hAnsi="Wingdings"/>
    </w:rPr>
  </w:style>
  <w:style w:type="character" w:customStyle="1" w:styleId="WWCharLFO13LVL7">
    <w:name w:val="WW_CharLFO13LVL7"/>
    <w:rPr>
      <w:rFonts w:ascii="Symbol" w:hAnsi="Symbol"/>
    </w:rPr>
  </w:style>
  <w:style w:type="character" w:customStyle="1" w:styleId="WWCharLFO13LVL8">
    <w:name w:val="WW_CharLFO13LVL8"/>
    <w:rPr>
      <w:rFonts w:ascii="Courier New" w:hAnsi="Courier New" w:cs="Courier New"/>
    </w:rPr>
  </w:style>
  <w:style w:type="character" w:customStyle="1" w:styleId="WWCharLFO13LVL9">
    <w:name w:val="WW_CharLFO13LVL9"/>
    <w:rPr>
      <w:rFonts w:ascii="Wingdings" w:hAnsi="Wingdings"/>
    </w:rPr>
  </w:style>
  <w:style w:type="character" w:customStyle="1" w:styleId="WWCharLFO15LVL1">
    <w:name w:val="WW_CharLFO15LVL1"/>
    <w:rPr>
      <w:rFonts w:ascii="Times New Roman" w:eastAsia="Calibri" w:hAnsi="Times New Roman" w:cs="Times New Roman"/>
      <w:sz w:val="20"/>
    </w:rPr>
  </w:style>
  <w:style w:type="character" w:customStyle="1" w:styleId="WWCharLFO15LVL2">
    <w:name w:val="WW_CharLFO15LVL2"/>
    <w:rPr>
      <w:rFonts w:ascii="Courier New" w:hAnsi="Courier New" w:cs="Courier New"/>
    </w:rPr>
  </w:style>
  <w:style w:type="character" w:customStyle="1" w:styleId="WWCharLFO15LVL3">
    <w:name w:val="WW_CharLFO15LVL3"/>
    <w:rPr>
      <w:rFonts w:ascii="Wingdings" w:hAnsi="Wingdings"/>
    </w:rPr>
  </w:style>
  <w:style w:type="character" w:customStyle="1" w:styleId="WWCharLFO15LVL4">
    <w:name w:val="WW_CharLFO15LVL4"/>
    <w:rPr>
      <w:rFonts w:ascii="Symbol" w:hAnsi="Symbol"/>
    </w:rPr>
  </w:style>
  <w:style w:type="character" w:customStyle="1" w:styleId="WWCharLFO15LVL5">
    <w:name w:val="WW_CharLFO15LVL5"/>
    <w:rPr>
      <w:rFonts w:ascii="Courier New" w:hAnsi="Courier New" w:cs="Courier New"/>
    </w:rPr>
  </w:style>
  <w:style w:type="character" w:customStyle="1" w:styleId="WWCharLFO15LVL6">
    <w:name w:val="WW_CharLFO15LVL6"/>
    <w:rPr>
      <w:rFonts w:ascii="Wingdings" w:hAnsi="Wingdings"/>
    </w:rPr>
  </w:style>
  <w:style w:type="character" w:customStyle="1" w:styleId="WWCharLFO15LVL7">
    <w:name w:val="WW_CharLFO15LVL7"/>
    <w:rPr>
      <w:rFonts w:ascii="Symbol" w:hAnsi="Symbol"/>
    </w:rPr>
  </w:style>
  <w:style w:type="character" w:customStyle="1" w:styleId="WWCharLFO15LVL8">
    <w:name w:val="WW_CharLFO15LVL8"/>
    <w:rPr>
      <w:rFonts w:ascii="Courier New" w:hAnsi="Courier New" w:cs="Courier New"/>
    </w:rPr>
  </w:style>
  <w:style w:type="character" w:customStyle="1" w:styleId="WWCharLFO15LVL9">
    <w:name w:val="WW_CharLFO15LVL9"/>
    <w:rPr>
      <w:rFonts w:ascii="Wingdings" w:hAnsi="Wingdings"/>
    </w:rPr>
  </w:style>
  <w:style w:type="character" w:customStyle="1" w:styleId="Caratteredellanota">
    <w:name w:val="Carattere della not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pPr>
      <w:ind w:left="357" w:hanging="357"/>
    </w:pPr>
  </w:style>
  <w:style w:type="paragraph" w:styleId="Titolo">
    <w:name w:val="Title"/>
    <w:basedOn w:val="Normale"/>
    <w:next w:val="Normale"/>
    <w:autoRedefine/>
    <w:pPr>
      <w:numPr>
        <w:numId w:val="1"/>
      </w:numPr>
      <w:spacing w:before="240" w:after="240"/>
      <w:jc w:val="center"/>
      <w:outlineLvl w:val="0"/>
    </w:pPr>
    <w:rPr>
      <w:rFonts w:cs="Times New Roman"/>
      <w:b/>
      <w:bCs/>
      <w:i/>
      <w:sz w:val="36"/>
      <w:szCs w:val="32"/>
    </w:rPr>
  </w:style>
  <w:style w:type="paragraph" w:customStyle="1" w:styleId="Corpodeltesto">
    <w:name w:val="Corpo del testo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customStyle="1" w:styleId="Default">
    <w:name w:val="Default"/>
    <w:pPr>
      <w:keepNext/>
      <w:pBdr>
        <w:top w:val="nil"/>
        <w:left w:val="nil"/>
        <w:bottom w:val="nil"/>
        <w:right w:val="nil"/>
      </w:pBdr>
      <w:suppressAutoHyphens/>
      <w:autoSpaceDE w:val="0"/>
      <w:spacing w:after="0" w:line="100" w:lineRule="atLeast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i.siciliani</dc:creator>
  <cp:lastModifiedBy>Utente</cp:lastModifiedBy>
  <cp:revision>33</cp:revision>
  <cp:lastPrinted>2018-02-28T15:30:00Z</cp:lastPrinted>
  <dcterms:created xsi:type="dcterms:W3CDTF">2013-12-19T15:41:00Z</dcterms:created>
  <dcterms:modified xsi:type="dcterms:W3CDTF">2022-06-23T14:31:00Z</dcterms:modified>
</cp:coreProperties>
</file>